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6F27F9">
      <w:pPr>
        <w:pStyle w:val="6"/>
        <w:snapToGrid w:val="0"/>
        <w:spacing w:line="360" w:lineRule="auto"/>
        <w:jc w:val="center"/>
        <w:rPr>
          <w:rFonts w:hint="eastAsia" w:ascii="楷体" w:hAnsi="楷体" w:eastAsia="楷体" w:cs="楷体"/>
          <w:b/>
          <w:sz w:val="24"/>
          <w:szCs w:val="24"/>
        </w:rPr>
      </w:pPr>
      <w:r>
        <w:rPr>
          <w:rFonts w:hint="eastAsia" w:ascii="楷体" w:hAnsi="楷体" w:eastAsia="楷体" w:cs="楷体"/>
          <w:b/>
          <w:bCs/>
          <w:kern w:val="0"/>
          <w:sz w:val="36"/>
          <w:szCs w:val="36"/>
        </w:rPr>
        <w:t>用户需求书</w:t>
      </w:r>
    </w:p>
    <w:p w14:paraId="62ECA5C3">
      <w:pPr>
        <w:adjustRightInd w:val="0"/>
        <w:snapToGrid w:val="0"/>
        <w:spacing w:line="360" w:lineRule="auto"/>
        <w:rPr>
          <w:rFonts w:hint="eastAsia" w:ascii="楷体" w:hAnsi="楷体" w:eastAsia="楷体" w:cs="楷体"/>
          <w:b/>
          <w:sz w:val="24"/>
        </w:rPr>
      </w:pPr>
      <w:r>
        <w:rPr>
          <w:rFonts w:hint="eastAsia" w:ascii="楷体" w:hAnsi="楷体" w:eastAsia="楷体" w:cs="楷体"/>
          <w:b/>
          <w:sz w:val="24"/>
        </w:rPr>
        <w:t>说明：</w:t>
      </w:r>
    </w:p>
    <w:p w14:paraId="168A5855">
      <w:pPr>
        <w:adjustRightInd w:val="0"/>
        <w:snapToGrid w:val="0"/>
        <w:spacing w:line="360" w:lineRule="auto"/>
        <w:ind w:firstLine="482" w:firstLineChars="200"/>
        <w:rPr>
          <w:rFonts w:hint="eastAsia" w:ascii="楷体" w:hAnsi="楷体" w:eastAsia="楷体" w:cs="楷体"/>
          <w:b/>
          <w:sz w:val="24"/>
        </w:rPr>
      </w:pPr>
      <w:r>
        <w:rPr>
          <w:rFonts w:hint="eastAsia" w:ascii="楷体" w:hAnsi="楷体" w:eastAsia="楷体" w:cs="楷体"/>
          <w:b/>
          <w:sz w:val="24"/>
        </w:rPr>
        <w:t>1、投标人须对本项目为单位的货物及服务进行整体响应，任何只对其中一部分内容进行的投标都被视为无效投标。</w:t>
      </w:r>
    </w:p>
    <w:p w14:paraId="6EA9F03F">
      <w:pPr>
        <w:adjustRightInd w:val="0"/>
        <w:snapToGrid w:val="0"/>
        <w:spacing w:line="360" w:lineRule="auto"/>
        <w:ind w:firstLine="482" w:firstLineChars="200"/>
        <w:rPr>
          <w:rFonts w:hint="eastAsia" w:ascii="楷体" w:hAnsi="楷体" w:eastAsia="楷体" w:cs="楷体"/>
          <w:b/>
          <w:sz w:val="24"/>
        </w:rPr>
      </w:pPr>
      <w:r>
        <w:rPr>
          <w:rFonts w:hint="eastAsia" w:ascii="楷体" w:hAnsi="楷体" w:eastAsia="楷体" w:cs="楷体"/>
          <w:b/>
          <w:sz w:val="24"/>
        </w:rPr>
        <w:t>2、本项目只允许采购本国产品（本国产品是指不需要通过中国海关报关验放已在中国境内且产自关境内的产品）。</w:t>
      </w:r>
    </w:p>
    <w:p w14:paraId="0149C12C">
      <w:pPr>
        <w:adjustRightInd w:val="0"/>
        <w:snapToGrid w:val="0"/>
        <w:spacing w:line="360" w:lineRule="auto"/>
        <w:ind w:firstLine="482" w:firstLineChars="200"/>
        <w:outlineLvl w:val="1"/>
        <w:rPr>
          <w:rFonts w:hint="eastAsia" w:ascii="楷体" w:hAnsi="楷体" w:eastAsia="楷体" w:cs="楷体"/>
          <w:b/>
          <w:bCs/>
          <w:sz w:val="24"/>
        </w:rPr>
      </w:pPr>
      <w:r>
        <w:rPr>
          <w:rFonts w:hint="eastAsia" w:ascii="楷体" w:hAnsi="楷体" w:eastAsia="楷体" w:cs="楷体"/>
          <w:b/>
          <w:bCs/>
          <w:sz w:val="24"/>
        </w:rPr>
        <w:t>一、项目概况</w:t>
      </w:r>
    </w:p>
    <w:p w14:paraId="3D91E7B9">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1、项目名称：采购30辆新能源教练车项目。</w:t>
      </w:r>
    </w:p>
    <w:p w14:paraId="10A15E29">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2、中标人不得以任何方式转包或分包本项目。</w:t>
      </w:r>
    </w:p>
    <w:p w14:paraId="228E4242">
      <w:pPr>
        <w:adjustRightInd w:val="0"/>
        <w:snapToGrid w:val="0"/>
        <w:spacing w:line="360" w:lineRule="auto"/>
        <w:ind w:firstLine="482" w:firstLineChars="200"/>
        <w:outlineLvl w:val="1"/>
        <w:rPr>
          <w:rFonts w:hint="eastAsia" w:ascii="楷体" w:hAnsi="楷体" w:eastAsia="楷体" w:cs="楷体"/>
          <w:b/>
          <w:bCs/>
          <w:sz w:val="24"/>
        </w:rPr>
      </w:pPr>
      <w:r>
        <w:rPr>
          <w:rFonts w:hint="eastAsia" w:ascii="楷体" w:hAnsi="楷体" w:eastAsia="楷体" w:cs="楷体"/>
          <w:b/>
          <w:bCs/>
          <w:sz w:val="24"/>
        </w:rPr>
        <w:t>二、项目需求</w:t>
      </w:r>
    </w:p>
    <w:p w14:paraId="3375CB8F">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★1、车型为比亚迪e3手动挡驾考版车型；</w:t>
      </w:r>
    </w:p>
    <w:p w14:paraId="76011369">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★2、车辆出厂合格证书类型必须明确为教练车；</w:t>
      </w:r>
    </w:p>
    <w:p w14:paraId="7F30CE4A">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★3、车辆必须符合佛山市对教练车上牌的相关规定；</w:t>
      </w:r>
    </w:p>
    <w:p w14:paraId="3BB92DC2">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★4、车辆需符合教练车的配置要求，配备副刹车、后视镜、副喇叭设备，并按照教练车外观颜色标准进行喷涂；</w:t>
      </w:r>
    </w:p>
    <w:p w14:paraId="401B4A1C">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5、中标人需提供车辆的售后服务方案，包括质保期限、维修保养服务网点分布、紧急救援服务等内容，确保车辆在使用过程中的正常维护与快速维修。</w:t>
      </w:r>
    </w:p>
    <w:p w14:paraId="3101A626">
      <w:pPr>
        <w:adjustRightInd w:val="0"/>
        <w:snapToGrid w:val="0"/>
        <w:spacing w:line="360" w:lineRule="auto"/>
        <w:ind w:firstLine="480" w:firstLineChars="200"/>
        <w:rPr>
          <w:rFonts w:ascii="楷体" w:hAnsi="楷体" w:eastAsia="楷体" w:cs="楷体"/>
          <w:sz w:val="24"/>
        </w:rPr>
      </w:pPr>
      <w:r>
        <w:rPr>
          <w:rFonts w:hint="eastAsia" w:ascii="楷体" w:hAnsi="楷体" w:eastAsia="楷体" w:cs="楷体"/>
          <w:sz w:val="24"/>
        </w:rPr>
        <w:t>6、中标人需随每台车提供安全警示标识、便携式慢充线、全车包裹脚垫、千斤顶、车辆GPS定位器、GPS定位系统及五年使用期等。</w:t>
      </w:r>
    </w:p>
    <w:p w14:paraId="1F522535">
      <w:pPr>
        <w:adjustRightInd w:val="0"/>
        <w:snapToGrid w:val="0"/>
        <w:spacing w:line="360" w:lineRule="auto"/>
        <w:ind w:firstLine="480" w:firstLineChars="200"/>
        <w:rPr>
          <w:rFonts w:ascii="楷体" w:hAnsi="楷体" w:eastAsia="楷体" w:cs="楷体"/>
          <w:sz w:val="24"/>
        </w:rPr>
      </w:pPr>
      <w:r>
        <w:rPr>
          <w:rFonts w:hint="eastAsia" w:ascii="楷体" w:hAnsi="楷体" w:eastAsia="楷体" w:cs="楷体"/>
          <w:sz w:val="24"/>
        </w:rPr>
        <w:t>7、中标人所提供的车辆应为6个月内全新出厂的新车，否则招标人有权拒绝验收并要求更换符合出厂时间的车辆。</w:t>
      </w:r>
      <w:bookmarkStart w:id="0" w:name="_GoBack"/>
      <w:bookmarkEnd w:id="0"/>
    </w:p>
    <w:p w14:paraId="5F996E6E">
      <w:pPr>
        <w:adjustRightInd w:val="0"/>
        <w:snapToGrid w:val="0"/>
        <w:spacing w:line="360" w:lineRule="auto"/>
        <w:ind w:firstLine="482" w:firstLineChars="200"/>
        <w:rPr>
          <w:rFonts w:hint="eastAsia" w:ascii="楷体" w:hAnsi="楷体" w:eastAsia="楷体" w:cs="楷体"/>
          <w:b/>
          <w:bCs/>
          <w:sz w:val="24"/>
        </w:rPr>
      </w:pPr>
      <w:r>
        <w:rPr>
          <w:rFonts w:hint="eastAsia" w:ascii="楷体" w:hAnsi="楷体" w:eastAsia="楷体" w:cs="楷体"/>
          <w:b/>
          <w:bCs/>
          <w:sz w:val="24"/>
        </w:rPr>
        <w:t>三、采购车辆数量及参数表</w:t>
      </w:r>
    </w:p>
    <w:tbl>
      <w:tblPr>
        <w:tblStyle w:val="4"/>
        <w:tblW w:w="9283" w:type="dxa"/>
        <w:jc w:val="center"/>
        <w:tblLayout w:type="fixed"/>
        <w:tblCellMar>
          <w:top w:w="0" w:type="dxa"/>
          <w:left w:w="108" w:type="dxa"/>
          <w:bottom w:w="0" w:type="dxa"/>
          <w:right w:w="108" w:type="dxa"/>
        </w:tblCellMar>
      </w:tblPr>
      <w:tblGrid>
        <w:gridCol w:w="795"/>
        <w:gridCol w:w="1589"/>
        <w:gridCol w:w="5366"/>
        <w:gridCol w:w="833"/>
        <w:gridCol w:w="700"/>
      </w:tblGrid>
      <w:tr w14:paraId="55229859">
        <w:tblPrEx>
          <w:tblCellMar>
            <w:top w:w="0" w:type="dxa"/>
            <w:left w:w="108" w:type="dxa"/>
            <w:bottom w:w="0" w:type="dxa"/>
            <w:right w:w="108" w:type="dxa"/>
          </w:tblCellMar>
        </w:tblPrEx>
        <w:trPr>
          <w:cantSplit/>
          <w:trHeight w:val="624" w:hRule="atLeast"/>
          <w:jc w:val="center"/>
        </w:trPr>
        <w:tc>
          <w:tcPr>
            <w:tcW w:w="795" w:type="dxa"/>
            <w:tcBorders>
              <w:top w:val="single" w:color="000000" w:sz="8" w:space="0"/>
              <w:left w:val="single" w:color="000000" w:sz="8" w:space="0"/>
              <w:bottom w:val="single" w:color="000000" w:sz="4" w:space="0"/>
              <w:right w:val="single" w:color="000000" w:sz="4" w:space="0"/>
            </w:tcBorders>
            <w:shd w:val="clear" w:color="FFFFFF" w:fill="FFFFFF"/>
            <w:noWrap w:val="0"/>
            <w:vAlign w:val="center"/>
          </w:tcPr>
          <w:p w14:paraId="1F0E3D3F">
            <w:pPr>
              <w:kinsoku w:val="0"/>
              <w:overflowPunct w:val="0"/>
              <w:autoSpaceDE w:val="0"/>
              <w:autoSpaceDN w:val="0"/>
              <w:adjustRightInd w:val="0"/>
              <w:snapToGrid w:val="0"/>
              <w:jc w:val="center"/>
              <w:rPr>
                <w:rFonts w:hint="eastAsia" w:ascii="楷体" w:hAnsi="楷体" w:eastAsia="楷体" w:cs="楷体"/>
                <w:b/>
                <w:bCs/>
                <w:sz w:val="24"/>
              </w:rPr>
            </w:pPr>
            <w:r>
              <w:rPr>
                <w:rFonts w:hint="eastAsia" w:ascii="楷体" w:hAnsi="楷体" w:eastAsia="楷体" w:cs="楷体"/>
                <w:b/>
                <w:bCs/>
                <w:kern w:val="0"/>
                <w:sz w:val="24"/>
              </w:rPr>
              <w:t>序号</w:t>
            </w:r>
          </w:p>
        </w:tc>
        <w:tc>
          <w:tcPr>
            <w:tcW w:w="1589" w:type="dxa"/>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28099DF3">
            <w:pPr>
              <w:kinsoku w:val="0"/>
              <w:overflowPunct w:val="0"/>
              <w:autoSpaceDE w:val="0"/>
              <w:autoSpaceDN w:val="0"/>
              <w:adjustRightInd w:val="0"/>
              <w:snapToGrid w:val="0"/>
              <w:jc w:val="center"/>
              <w:rPr>
                <w:rFonts w:hint="eastAsia" w:ascii="楷体" w:hAnsi="楷体" w:eastAsia="楷体" w:cs="楷体"/>
                <w:b/>
                <w:bCs/>
                <w:sz w:val="24"/>
              </w:rPr>
            </w:pPr>
            <w:r>
              <w:rPr>
                <w:rFonts w:hint="eastAsia" w:ascii="楷体" w:hAnsi="楷体" w:eastAsia="楷体" w:cs="楷体"/>
                <w:b/>
                <w:bCs/>
                <w:kern w:val="0"/>
                <w:sz w:val="24"/>
              </w:rPr>
              <w:t>名称</w:t>
            </w:r>
          </w:p>
        </w:tc>
        <w:tc>
          <w:tcPr>
            <w:tcW w:w="5366" w:type="dxa"/>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271E2877">
            <w:pPr>
              <w:kinsoku w:val="0"/>
              <w:overflowPunct w:val="0"/>
              <w:autoSpaceDE w:val="0"/>
              <w:autoSpaceDN w:val="0"/>
              <w:adjustRightInd w:val="0"/>
              <w:snapToGrid w:val="0"/>
              <w:jc w:val="center"/>
              <w:rPr>
                <w:rFonts w:hint="eastAsia" w:ascii="楷体" w:hAnsi="楷体" w:eastAsia="楷体" w:cs="楷体"/>
                <w:b/>
                <w:bCs/>
                <w:sz w:val="24"/>
              </w:rPr>
            </w:pPr>
            <w:r>
              <w:rPr>
                <w:rFonts w:hint="eastAsia" w:ascii="楷体" w:hAnsi="楷体" w:eastAsia="楷体" w:cs="楷体"/>
                <w:b/>
                <w:bCs/>
                <w:kern w:val="0"/>
                <w:sz w:val="24"/>
              </w:rPr>
              <w:t>服务要求及技术指标</w:t>
            </w:r>
          </w:p>
        </w:tc>
        <w:tc>
          <w:tcPr>
            <w:tcW w:w="833" w:type="dxa"/>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51DC5046">
            <w:pPr>
              <w:kinsoku w:val="0"/>
              <w:overflowPunct w:val="0"/>
              <w:autoSpaceDE w:val="0"/>
              <w:autoSpaceDN w:val="0"/>
              <w:adjustRightInd w:val="0"/>
              <w:snapToGrid w:val="0"/>
              <w:jc w:val="center"/>
              <w:rPr>
                <w:rFonts w:hint="eastAsia" w:ascii="楷体" w:hAnsi="楷体" w:eastAsia="楷体" w:cs="楷体"/>
                <w:b/>
                <w:bCs/>
                <w:sz w:val="24"/>
              </w:rPr>
            </w:pPr>
            <w:r>
              <w:rPr>
                <w:rFonts w:hint="eastAsia" w:ascii="楷体" w:hAnsi="楷体" w:eastAsia="楷体" w:cs="楷体"/>
                <w:b/>
                <w:bCs/>
                <w:kern w:val="0"/>
                <w:sz w:val="24"/>
              </w:rPr>
              <w:t>单位</w:t>
            </w:r>
          </w:p>
        </w:tc>
        <w:tc>
          <w:tcPr>
            <w:tcW w:w="700" w:type="dxa"/>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14:paraId="5892612D">
            <w:pPr>
              <w:kinsoku w:val="0"/>
              <w:overflowPunct w:val="0"/>
              <w:autoSpaceDE w:val="0"/>
              <w:autoSpaceDN w:val="0"/>
              <w:adjustRightInd w:val="0"/>
              <w:snapToGrid w:val="0"/>
              <w:jc w:val="center"/>
              <w:rPr>
                <w:rFonts w:hint="eastAsia" w:ascii="楷体" w:hAnsi="楷体" w:eastAsia="楷体" w:cs="楷体"/>
                <w:b/>
                <w:bCs/>
                <w:sz w:val="24"/>
              </w:rPr>
            </w:pPr>
            <w:r>
              <w:rPr>
                <w:rFonts w:hint="eastAsia" w:ascii="楷体" w:hAnsi="楷体" w:eastAsia="楷体" w:cs="楷体"/>
                <w:b/>
                <w:bCs/>
                <w:kern w:val="0"/>
                <w:sz w:val="24"/>
              </w:rPr>
              <w:t>数量</w:t>
            </w:r>
          </w:p>
        </w:tc>
      </w:tr>
      <w:tr w14:paraId="69AEFDE5">
        <w:tblPrEx>
          <w:tblCellMar>
            <w:top w:w="0" w:type="dxa"/>
            <w:left w:w="108" w:type="dxa"/>
            <w:bottom w:w="0" w:type="dxa"/>
            <w:right w:w="108" w:type="dxa"/>
          </w:tblCellMar>
        </w:tblPrEx>
        <w:trPr>
          <w:trHeight w:val="825" w:hRule="atLeast"/>
          <w:jc w:val="center"/>
        </w:trPr>
        <w:tc>
          <w:tcPr>
            <w:tcW w:w="795"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14:paraId="0839DB2F">
            <w:pPr>
              <w:kinsoku w:val="0"/>
              <w:overflowPunct w:val="0"/>
              <w:autoSpaceDE w:val="0"/>
              <w:autoSpaceDN w:val="0"/>
              <w:adjustRightInd w:val="0"/>
              <w:snapToGrid w:val="0"/>
              <w:jc w:val="center"/>
              <w:textAlignment w:val="center"/>
              <w:rPr>
                <w:rFonts w:hint="eastAsia" w:ascii="楷体" w:hAnsi="楷体" w:eastAsia="楷体" w:cs="楷体"/>
                <w:sz w:val="24"/>
              </w:rPr>
            </w:pPr>
            <w:r>
              <w:rPr>
                <w:rFonts w:hint="eastAsia" w:ascii="楷体" w:hAnsi="楷体" w:eastAsia="楷体" w:cs="楷体"/>
                <w:sz w:val="24"/>
              </w:rPr>
              <w:t>1</w:t>
            </w:r>
          </w:p>
        </w:tc>
        <w:tc>
          <w:tcPr>
            <w:tcW w:w="158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7BAF2E5E">
            <w:pPr>
              <w:kinsoku w:val="0"/>
              <w:overflowPunct w:val="0"/>
              <w:autoSpaceDE w:val="0"/>
              <w:autoSpaceDN w:val="0"/>
              <w:adjustRightInd w:val="0"/>
              <w:snapToGrid w:val="0"/>
              <w:jc w:val="center"/>
              <w:textAlignment w:val="center"/>
              <w:rPr>
                <w:rFonts w:hint="eastAsia" w:ascii="楷体" w:hAnsi="楷体" w:eastAsia="楷体" w:cs="楷体"/>
                <w:sz w:val="24"/>
              </w:rPr>
            </w:pPr>
            <w:r>
              <w:rPr>
                <w:rFonts w:hint="eastAsia" w:ascii="楷体" w:hAnsi="楷体" w:eastAsia="楷体" w:cs="楷体"/>
                <w:sz w:val="24"/>
              </w:rPr>
              <w:t>比亚迪e3手动挡驾考版</w:t>
            </w:r>
          </w:p>
        </w:tc>
        <w:tc>
          <w:tcPr>
            <w:tcW w:w="536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615DD15B">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1.比亚迪e3手动挡驾考版</w:t>
            </w:r>
          </w:p>
          <w:p w14:paraId="73BAE508">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2.尺寸参数</w:t>
            </w:r>
          </w:p>
          <w:p w14:paraId="2F25ECA6">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长x宽x高(mm)：4450x1760x1520</w:t>
            </w:r>
          </w:p>
          <w:p w14:paraId="0622E3BE">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轴距(mm)：2610</w:t>
            </w:r>
          </w:p>
          <w:p w14:paraId="30309FBE">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轮距前/后(mm)：1490/1470</w:t>
            </w:r>
          </w:p>
          <w:p w14:paraId="05025A3F">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最小转弯半径(m)：5.4</w:t>
            </w:r>
          </w:p>
          <w:p w14:paraId="42D83FFB">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轮胎规格：205/60 R16</w:t>
            </w:r>
          </w:p>
          <w:p w14:paraId="32F41E8E">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3.动力性能</w:t>
            </w:r>
          </w:p>
          <w:p w14:paraId="27796A9C">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电机形式：交流永磁同步电机</w:t>
            </w:r>
          </w:p>
          <w:p w14:paraId="27BA143B">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电机最大功率(kW)：54</w:t>
            </w:r>
          </w:p>
          <w:p w14:paraId="3AD0EB26">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电机最大扭矩(N·m)：140</w:t>
            </w:r>
          </w:p>
          <w:p w14:paraId="1BF9F5FA">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工况法纯电续驶里程(km)：350</w:t>
            </w:r>
          </w:p>
          <w:p w14:paraId="17C7D9E4">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电池容量(kWh)：38</w:t>
            </w:r>
          </w:p>
          <w:p w14:paraId="4E4BCBDF">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电池类型：刀片电池</w:t>
            </w:r>
          </w:p>
          <w:p w14:paraId="0E9F3855">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快充时间(h)：1.5</w:t>
            </w:r>
          </w:p>
          <w:p w14:paraId="441A944D">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30分钟快充电量百分比：30%-80%</w:t>
            </w:r>
          </w:p>
          <w:p w14:paraId="6A68281C">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4.制动及悬架</w:t>
            </w:r>
          </w:p>
          <w:p w14:paraId="6F0D0924">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前制动器类型：通风盘式</w:t>
            </w:r>
          </w:p>
          <w:p w14:paraId="56C603A2">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后制动器类型：鼓式</w:t>
            </w:r>
          </w:p>
          <w:p w14:paraId="03C7C4E4">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前悬架类型：麦弗逊式独立悬架</w:t>
            </w:r>
          </w:p>
          <w:p w14:paraId="67F72889">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后悬架类型：扭力梁式悬架</w:t>
            </w:r>
          </w:p>
          <w:p w14:paraId="641D431A">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5.安全装备：Bosch®ABS防抱死制动系统、Bosch®EBD电子制动力分配系统、TPMS胎压监测系统(不带数值显示)、BOS刹车优先系统、EPS电动助力转向系统、前排双安全气囊、手动驻车系统、外后视镜电加热除霜、内后视镜手动防眩目、后风窗电加热除霜、遥控中控门锁、后排中座三点式安全带、主驾未系安全带声光报警、儿童安全锁、ISO-FIX儿童座椅固定装置、车速感应自动上锁、组合仪表限速提醒装置、智能防盗系统、碰撞感应自动解锁、3H高强度车身结构、溃缩式转向管柱、溃缩式制动踏板、车身电子防盗系统、整车故障诊断系统、智能充电系统(蓄电池低压补电)、低速行人提醒功能；</w:t>
            </w:r>
          </w:p>
          <w:p w14:paraId="34316BF9">
            <w:pPr>
              <w:kinsoku w:val="0"/>
              <w:overflowPunct w:val="0"/>
              <w:autoSpaceDE w:val="0"/>
              <w:autoSpaceDN w:val="0"/>
              <w:adjustRightInd w:val="0"/>
              <w:snapToGrid w:val="0"/>
              <w:spacing w:line="360" w:lineRule="exact"/>
              <w:jc w:val="left"/>
              <w:textAlignment w:val="center"/>
              <w:rPr>
                <w:rFonts w:ascii="楷体" w:hAnsi="楷体" w:eastAsia="楷体" w:cs="楷体"/>
                <w:sz w:val="24"/>
              </w:rPr>
            </w:pPr>
            <w:r>
              <w:rPr>
                <w:rFonts w:hint="eastAsia" w:ascii="楷体" w:hAnsi="楷体" w:eastAsia="楷体" w:cs="楷体"/>
                <w:sz w:val="24"/>
                <w:lang w:val="en-US" w:eastAsia="zh-CN"/>
              </w:rPr>
              <w:t>6</w:t>
            </w:r>
            <w:r>
              <w:rPr>
                <w:rFonts w:hint="eastAsia" w:ascii="楷体" w:hAnsi="楷体" w:eastAsia="楷体" w:cs="楷体"/>
                <w:sz w:val="24"/>
              </w:rPr>
              <w:t>.舒适便利：无钥匙进入及一键启动系统、机械式换挡（★）、多功能方向盘、四门电动车窗、主驾6向手动调节座椅、副驾4向手动调节座椅、PM2.5高效过滤器(不带PM2.5显示)、电动空调、引擎及空调遥控启闭、后背门电动解锁、保养提醒功能、补胎液。</w:t>
            </w:r>
          </w:p>
          <w:p w14:paraId="4BDB0CB1">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lang w:val="en-US" w:eastAsia="zh-CN"/>
              </w:rPr>
              <w:t>7</w:t>
            </w:r>
            <w:r>
              <w:rPr>
                <w:rFonts w:hint="eastAsia" w:ascii="楷体" w:hAnsi="楷体" w:eastAsia="楷体" w:cs="楷体"/>
                <w:sz w:val="24"/>
              </w:rPr>
              <w:t>.新能源科技：教学模式（★）、第三代电池智能温控管理系统、高压系统多重断电保护、预约充电系统、最大40kW直流快充、最大6.6kW交流快充、经济模式、油门锁定模式、制动能量回收系统；</w:t>
            </w:r>
          </w:p>
          <w:p w14:paraId="4466532F">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lang w:val="en-US" w:eastAsia="zh-CN"/>
              </w:rPr>
              <w:t>8</w:t>
            </w:r>
            <w:r>
              <w:rPr>
                <w:rFonts w:hint="eastAsia" w:ascii="楷体" w:hAnsi="楷体" w:eastAsia="楷体" w:cs="楷体"/>
                <w:sz w:val="24"/>
              </w:rPr>
              <w:t>.灯光装备：穿透式卤素前大灯、前大灯提前开启/延时关闭、自动开启前大灯、前大灯高度手动调节、切割折线贯穿式LED晶耀尾灯、LED流水式后转向灯、LED触控式前室内灯、LED高位制动灯、LED后牌照灯、LED后雾灯、LED倒车灯；</w:t>
            </w:r>
          </w:p>
          <w:p w14:paraId="55F612F4">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lang w:val="en-US" w:eastAsia="zh-CN"/>
              </w:rPr>
              <w:t>9</w:t>
            </w:r>
            <w:r>
              <w:rPr>
                <w:rFonts w:hint="eastAsia" w:ascii="楷体" w:hAnsi="楷体" w:eastAsia="楷体" w:cs="楷体"/>
                <w:sz w:val="24"/>
              </w:rPr>
              <w:t>.外观装备：16英寸钢制车轮、车轮装饰罩、车身同色外把手、外后视镜镜片电动调节、鲨鱼鳍天线、间歇式雨刷；</w:t>
            </w:r>
          </w:p>
          <w:p w14:paraId="69D1086F">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1</w:t>
            </w:r>
            <w:r>
              <w:rPr>
                <w:rFonts w:hint="eastAsia" w:ascii="楷体" w:hAnsi="楷体" w:eastAsia="楷体" w:cs="楷体"/>
                <w:sz w:val="24"/>
                <w:lang w:val="en-US" w:eastAsia="zh-CN"/>
              </w:rPr>
              <w:t>0</w:t>
            </w:r>
            <w:r>
              <w:rPr>
                <w:rFonts w:hint="eastAsia" w:ascii="楷体" w:hAnsi="楷体" w:eastAsia="楷体" w:cs="楷体"/>
                <w:sz w:val="24"/>
              </w:rPr>
              <w:t>.内饰装备：深黑内饰、豪华皮座椅、自结皮方向盘、四门蒙皮扶手座、8英寸立式全液晶仪表、主驾遮阳板、副驾带化妆镜遮阳板、后排整体可放倒座椅、驾驶员歇脚踏板、前排座椅靠背储物袋、车载12V电源接口、前门文件袋；</w:t>
            </w:r>
          </w:p>
          <w:p w14:paraId="27C20DD7">
            <w:pPr>
              <w:kinsoku w:val="0"/>
              <w:overflowPunct w:val="0"/>
              <w:autoSpaceDE w:val="0"/>
              <w:autoSpaceDN w:val="0"/>
              <w:adjustRightInd w:val="0"/>
              <w:snapToGrid w:val="0"/>
              <w:spacing w:line="360" w:lineRule="exact"/>
              <w:jc w:val="left"/>
              <w:textAlignment w:val="center"/>
              <w:rPr>
                <w:rFonts w:hint="eastAsia" w:ascii="楷体" w:hAnsi="楷体" w:eastAsia="楷体" w:cs="楷体"/>
                <w:sz w:val="24"/>
              </w:rPr>
            </w:pPr>
            <w:r>
              <w:rPr>
                <w:rFonts w:hint="eastAsia" w:ascii="楷体" w:hAnsi="楷体" w:eastAsia="楷体" w:cs="楷体"/>
                <w:sz w:val="24"/>
              </w:rPr>
              <w:t>1</w:t>
            </w:r>
            <w:r>
              <w:rPr>
                <w:rFonts w:hint="eastAsia" w:ascii="楷体" w:hAnsi="楷体" w:eastAsia="楷体" w:cs="楷体"/>
                <w:sz w:val="24"/>
                <w:lang w:val="en-US" w:eastAsia="zh-CN"/>
              </w:rPr>
              <w:t>1</w:t>
            </w:r>
            <w:r>
              <w:rPr>
                <w:rFonts w:hint="eastAsia" w:ascii="楷体" w:hAnsi="楷体" w:eastAsia="楷体" w:cs="楷体"/>
                <w:sz w:val="24"/>
              </w:rPr>
              <w:t>.驾校配置装备（★）：副制动装置、辅助喇叭开关、辅助后视镜、车顶灯电源接口、车载计时计程终端接口。</w:t>
            </w:r>
          </w:p>
        </w:tc>
        <w:tc>
          <w:tcPr>
            <w:tcW w:w="83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04789B0C">
            <w:pPr>
              <w:kinsoku w:val="0"/>
              <w:overflowPunct w:val="0"/>
              <w:autoSpaceDE w:val="0"/>
              <w:autoSpaceDN w:val="0"/>
              <w:adjustRightInd w:val="0"/>
              <w:snapToGrid w:val="0"/>
              <w:jc w:val="center"/>
              <w:textAlignment w:val="center"/>
              <w:rPr>
                <w:rFonts w:hint="eastAsia" w:ascii="楷体" w:hAnsi="楷体" w:eastAsia="楷体" w:cs="楷体"/>
                <w:sz w:val="24"/>
              </w:rPr>
            </w:pPr>
            <w:r>
              <w:rPr>
                <w:rFonts w:hint="eastAsia" w:ascii="楷体" w:hAnsi="楷体" w:eastAsia="楷体" w:cs="楷体"/>
                <w:sz w:val="24"/>
              </w:rPr>
              <w:t>辆</w:t>
            </w:r>
          </w:p>
        </w:tc>
        <w:tc>
          <w:tcPr>
            <w:tcW w:w="70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49E78AD0">
            <w:pPr>
              <w:kinsoku w:val="0"/>
              <w:overflowPunct w:val="0"/>
              <w:autoSpaceDE w:val="0"/>
              <w:autoSpaceDN w:val="0"/>
              <w:adjustRightInd w:val="0"/>
              <w:snapToGrid w:val="0"/>
              <w:jc w:val="center"/>
              <w:textAlignment w:val="center"/>
              <w:rPr>
                <w:rFonts w:ascii="楷体" w:hAnsi="楷体" w:eastAsia="楷体" w:cs="楷体"/>
                <w:sz w:val="24"/>
              </w:rPr>
            </w:pPr>
            <w:r>
              <w:rPr>
                <w:rFonts w:hint="eastAsia" w:ascii="楷体" w:hAnsi="楷体" w:eastAsia="楷体" w:cs="楷体"/>
                <w:sz w:val="24"/>
              </w:rPr>
              <w:t>30</w:t>
            </w:r>
          </w:p>
        </w:tc>
      </w:tr>
    </w:tbl>
    <w:p w14:paraId="433A6004">
      <w:pPr>
        <w:adjustRightInd w:val="0"/>
        <w:snapToGrid w:val="0"/>
        <w:spacing w:line="360" w:lineRule="auto"/>
        <w:ind w:firstLine="480" w:firstLineChars="200"/>
        <w:rPr>
          <w:rFonts w:hint="eastAsia" w:ascii="楷体" w:hAnsi="楷体" w:eastAsia="楷体" w:cs="楷体"/>
          <w:sz w:val="24"/>
        </w:rPr>
      </w:pPr>
    </w:p>
    <w:p w14:paraId="42451C9E">
      <w:pPr>
        <w:adjustRightInd w:val="0"/>
        <w:snapToGrid w:val="0"/>
        <w:spacing w:line="360" w:lineRule="auto"/>
        <w:ind w:firstLine="482" w:firstLineChars="200"/>
        <w:outlineLvl w:val="1"/>
        <w:rPr>
          <w:rFonts w:hint="eastAsia" w:ascii="楷体" w:hAnsi="楷体" w:eastAsia="楷体" w:cs="楷体"/>
          <w:b/>
          <w:bCs/>
          <w:sz w:val="24"/>
        </w:rPr>
      </w:pPr>
      <w:r>
        <w:rPr>
          <w:rFonts w:hint="eastAsia" w:ascii="楷体" w:hAnsi="楷体" w:eastAsia="楷体" w:cs="楷体"/>
          <w:b/>
          <w:bCs/>
          <w:sz w:val="24"/>
        </w:rPr>
        <w:t>三、商务要求</w:t>
      </w:r>
    </w:p>
    <w:p w14:paraId="2F8E6C26">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1、交货期</w:t>
      </w:r>
    </w:p>
    <w:p w14:paraId="3CFCA340">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自合同签订之日起30日内完成交付、验收合格。</w:t>
      </w:r>
    </w:p>
    <w:p w14:paraId="30898E75">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2、承包方式及报价要求</w:t>
      </w:r>
    </w:p>
    <w:p w14:paraId="77EE594C">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（1）承包方式：本项目为总价包干承包。报价应包括货物供货、运输、保管、安装、调试、验收、培训及相关服务等。</w:t>
      </w:r>
    </w:p>
    <w:p w14:paraId="7B4C97B8">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（2）报价要求：投标人根据清单进行报价，投标报价应包含但不限于：整车及零配件的购置和安装、质保期售后服务及不可预见费等完成本项目内容所需的一切费用</w:t>
      </w:r>
      <w:r>
        <w:rPr>
          <w:rFonts w:hint="eastAsia" w:ascii="楷体" w:hAnsi="楷体" w:eastAsia="楷体" w:cs="楷体"/>
          <w:kern w:val="0"/>
          <w:sz w:val="24"/>
        </w:rPr>
        <w:t>（不包含交强险、‌第三者责任险及‌机动车损失险等保险及上牌费用）</w:t>
      </w:r>
      <w:r>
        <w:rPr>
          <w:rFonts w:hint="eastAsia" w:ascii="楷体" w:hAnsi="楷体" w:eastAsia="楷体" w:cs="楷体"/>
          <w:sz w:val="24"/>
        </w:rPr>
        <w:t>。</w:t>
      </w:r>
    </w:p>
    <w:p w14:paraId="11D069F5">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（3）付款方式</w:t>
      </w:r>
    </w:p>
    <w:p w14:paraId="1AAC0DF3">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①签订合同后</w:t>
      </w:r>
      <w:r>
        <w:rPr>
          <w:rFonts w:hint="eastAsia" w:ascii="楷体" w:hAnsi="楷体" w:eastAsia="楷体" w:cs="楷体"/>
          <w:sz w:val="24"/>
          <w:lang w:val="en-US" w:eastAsia="zh-CN"/>
        </w:rPr>
        <w:t>10</w:t>
      </w:r>
      <w:r>
        <w:rPr>
          <w:rFonts w:hint="eastAsia" w:ascii="楷体" w:hAnsi="楷体" w:eastAsia="楷体" w:cs="楷体"/>
          <w:sz w:val="24"/>
        </w:rPr>
        <w:t>天内，中标人提交支付申请及对应支付金额的购车款收据，招标人审核无误后支付合同总价的50%；</w:t>
      </w:r>
    </w:p>
    <w:p w14:paraId="354548F5">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②全部车辆交货、安装、调试完毕，中标人提交支付申请及全额购车增值税专用发票，招标人审核无误后按12个月均分无息支付；</w:t>
      </w:r>
    </w:p>
    <w:p w14:paraId="1754CE27">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注：付款完毕并不代表合同履约的终止，中标人仍需按合同要求对车辆质量保修。</w:t>
      </w:r>
    </w:p>
    <w:p w14:paraId="08C1F7DB">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（4）中标人凭以下有效文件与甲方结算：</w:t>
      </w:r>
    </w:p>
    <w:p w14:paraId="35C74538">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①合同；</w:t>
      </w:r>
    </w:p>
    <w:p w14:paraId="12293150">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②中标人开具的正式发票（每次付款前中标人需开具相应金额发票）；</w:t>
      </w:r>
    </w:p>
    <w:p w14:paraId="3A70F570">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③验收报告（加盖招标人公章）；</w:t>
      </w:r>
    </w:p>
    <w:p w14:paraId="4BF72119">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④中标通知书。</w:t>
      </w:r>
    </w:p>
    <w:p w14:paraId="35565899">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（4）本项目的每笔款项以人民币支票或转账方式支付，合同货物到招标人指定地点交货，中标人负责卸货、安装、调试、维护等，人员安全责任由中标人负责。</w:t>
      </w:r>
    </w:p>
    <w:p w14:paraId="5B4BF45C">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（5）收款方、出具发票方、合同乙方均必须与中标人名称一致。</w:t>
      </w:r>
    </w:p>
    <w:p w14:paraId="700C3974">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4、项目基本要求</w:t>
      </w:r>
    </w:p>
    <w:p w14:paraId="7C0FE745">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（1）投标车辆必须是同系列最新款式的全新的（包括所有零部件、专用工具等）车辆，表面无划伤，无碰撞，各项技术指标完全符合国家监测标准及产品出厂标准。</w:t>
      </w:r>
    </w:p>
    <w:p w14:paraId="181086C6">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（2）投标车辆必须为具有合法手续的车辆，投标人的报价包含采购货物、质保期等的全部费用。投标人还应提供满足车辆免费维修保养期内正常使用的备品备件，其费用也应包括在投标报价之内。</w:t>
      </w:r>
    </w:p>
    <w:p w14:paraId="14EB402A">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（3）投标人必须保证设备和配件均为原厂生产。各种零配件的保修期限按照随车保修手册。</w:t>
      </w:r>
    </w:p>
    <w:p w14:paraId="6C13DDAA">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（4）投标人所投车辆均须是原厂生产的原装全新正品，相关标签清晰，证票齐全，包装完好，设备构造和设备功能正常，外观无划花、裂痕、凹陷和破损等。</w:t>
      </w:r>
    </w:p>
    <w:p w14:paraId="3F6D91D5">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（5）投标人要明确列出所投设备的详细配置参数，同时如实填写提供技术规格偏离表，如不列出所投货物规格和详细技术参数的，将会被认定是严重技术偏离而导致无效响应。</w:t>
      </w:r>
    </w:p>
    <w:p w14:paraId="10C32985">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5、质量保证及售后服务</w:t>
      </w:r>
    </w:p>
    <w:p w14:paraId="40D0334F">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（1）投标人必须提供目前市场上技术较先进、成熟的原装、全新产品，并且符合国家以及该产品的出厂标准，相关规定以质量保修手册为准。</w:t>
      </w:r>
    </w:p>
    <w:p w14:paraId="5FE08122">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（2）投标人必须对所投货物提供：质量保修承诺书、相关材料设备的出厂合格证明及质量保修书等。</w:t>
      </w:r>
    </w:p>
    <w:p w14:paraId="4B3E7F5A">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（3）质保期内如果招标人车辆在使用当中出现故障，工作时间内中标人应在两小时内响应，非工作时间应在四小时响应。</w:t>
      </w:r>
    </w:p>
    <w:p w14:paraId="67BABDFA">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（4）中标人不能以招标人对车辆加装培训教学设备为由拒绝保修。</w:t>
      </w:r>
    </w:p>
    <w:p w14:paraId="1EBB56FD">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6、验收要求</w:t>
      </w:r>
    </w:p>
    <w:p w14:paraId="5B040139">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（1）货物特性</w:t>
      </w:r>
    </w:p>
    <w:p w14:paraId="3E91F04A">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货物为原制造商制造的全新产品，无污染，无侵权行为、表面无划损、无任何缺陷隐患，在中国境内可依规安全合法使用。</w:t>
      </w:r>
    </w:p>
    <w:p w14:paraId="74801488">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（2）验收方案</w:t>
      </w:r>
    </w:p>
    <w:p w14:paraId="47133E12">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由招标人根据项目特点制定验收方案，中标人须无条件服从。</w:t>
      </w:r>
    </w:p>
    <w:p w14:paraId="1A87ED59">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（3）交付验收标准</w:t>
      </w:r>
    </w:p>
    <w:p w14:paraId="451D3266">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依次序对照适用标准为：</w:t>
      </w:r>
    </w:p>
    <w:p w14:paraId="306605DA">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①符合中华人民共和国国家安全质量标准、环保标准或行业标准；</w:t>
      </w:r>
    </w:p>
    <w:p w14:paraId="21006985">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②符合招标文件和响应承诺中招标人认可的合理最佳配置、参数及各项要求；</w:t>
      </w:r>
    </w:p>
    <w:p w14:paraId="475CBF75">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③货物来源国家官方标准。</w:t>
      </w:r>
    </w:p>
    <w:p w14:paraId="400DF786">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上述标准必须是有关官方机构发布的最新版本的标准。</w:t>
      </w:r>
    </w:p>
    <w:p w14:paraId="6EDB2464">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备注：采购车辆在办理上牌手续前，车辆的参数和颜色等须得到招标人确认后才能进行上牌手续。</w:t>
      </w:r>
    </w:p>
    <w:p w14:paraId="3276ED5A">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（4）验收人员</w:t>
      </w:r>
    </w:p>
    <w:p w14:paraId="63ACBBAE">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①招标人，或其委托的第三方机构（如有）；</w:t>
      </w:r>
    </w:p>
    <w:p w14:paraId="176EF111">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②中标人。</w:t>
      </w:r>
    </w:p>
    <w:p w14:paraId="343DE51C">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（5）验收结果确认</w:t>
      </w:r>
    </w:p>
    <w:p w14:paraId="54F78766">
      <w:pPr>
        <w:adjustRightInd w:val="0"/>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验收完毕由招标人及中标人在验收报告上签名确认。</w:t>
      </w:r>
    </w:p>
    <w:sectPr>
      <w:pgSz w:w="11906" w:h="16838"/>
      <w:pgMar w:top="1417" w:right="1417" w:bottom="1417" w:left="1417" w:header="851" w:footer="992" w:gutter="0"/>
      <w:cols w:space="0" w:num="1"/>
      <w:rtlGutter w:val="0"/>
      <w:docGrid w:type="lines" w:linePitch="33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F222E0"/>
    <w:rsid w:val="068176BD"/>
    <w:rsid w:val="1A277CB3"/>
    <w:rsid w:val="48467731"/>
    <w:rsid w:val="48F22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Indent 3"/>
    <w:basedOn w:val="1"/>
    <w:uiPriority w:val="0"/>
    <w:pPr>
      <w:spacing w:line="360" w:lineRule="auto"/>
      <w:ind w:left="1260" w:leftChars="600"/>
    </w:pPr>
    <w:rPr>
      <w:rFonts w:ascii="宋体" w:hAnsi="宋体"/>
      <w:b/>
      <w:bCs/>
      <w:sz w:val="24"/>
    </w:rPr>
  </w:style>
  <w:style w:type="paragraph" w:customStyle="1" w:styleId="6">
    <w:name w:val="_Style 3"/>
    <w:next w:val="3"/>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2025-03-27T09:05:00Z</dcterms:created>
  <dc:creator>KFC</dc:creator>
  <cp:lastModifiedBy>KFC</cp:lastModifiedBy>
  <dcterms:modified xsi:type="dcterms:W3CDTF">2025-03-27T09:22:59Z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D8C179ACF64A4C1896FBC6D846CDA5CD_11</vt:lpwstr>
  </property>
  <property fmtid="{D5CDD505-2E9C-101B-9397-08002B2CF9AE}" pid="4" name="KSOTemplateDocerSaveRecord">
    <vt:lpwstr>eyJoZGlkIjoiZjFmNzczY2ZhMmMxN2YyMTFkMTYwNDdlNWE3ZTNkOWIiLCJ1c2VySWQiOiIyNjA4MjU3MTIifQ==</vt:lpwstr>
  </property>
</Properties>
</file>